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7BE28" w14:textId="3BCCEA7E" w:rsidR="009E32AC" w:rsidRDefault="001938D8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380B3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380B30">
        <w:rPr>
          <w:rFonts w:cs="Arial"/>
          <w:bCs/>
          <w:sz w:val="22"/>
          <w:szCs w:val="22"/>
        </w:rPr>
        <w:t>TSG RAN WG2</w:t>
      </w:r>
      <w:bookmarkEnd w:id="0"/>
      <w:bookmarkEnd w:id="1"/>
      <w:bookmarkEnd w:id="2"/>
      <w:r w:rsidRPr="00380B30">
        <w:rPr>
          <w:rFonts w:cs="Arial"/>
          <w:bCs/>
          <w:sz w:val="22"/>
          <w:szCs w:val="22"/>
        </w:rPr>
        <w:t xml:space="preserve"> Meeting #11</w:t>
      </w:r>
      <w:r w:rsidR="00064743">
        <w:rPr>
          <w:rFonts w:cs="Arial"/>
          <w:bCs/>
          <w:sz w:val="22"/>
          <w:szCs w:val="22"/>
        </w:rPr>
        <w:t>5</w:t>
      </w:r>
      <w:r w:rsidRPr="00380B30">
        <w:rPr>
          <w:rFonts w:cs="Arial"/>
          <w:bCs/>
          <w:sz w:val="22"/>
          <w:szCs w:val="22"/>
        </w:rPr>
        <w:t>-e</w:t>
      </w:r>
      <w:r w:rsidRPr="00380B30">
        <w:rPr>
          <w:rFonts w:cs="Arial"/>
          <w:noProof w:val="0"/>
          <w:sz w:val="22"/>
          <w:szCs w:val="22"/>
        </w:rPr>
        <w:tab/>
      </w:r>
      <w:r w:rsidRPr="00380B30">
        <w:rPr>
          <w:rFonts w:cs="Arial"/>
          <w:noProof w:val="0"/>
          <w:sz w:val="22"/>
          <w:szCs w:val="22"/>
        </w:rPr>
        <w:tab/>
      </w:r>
      <w:r w:rsidR="00427688" w:rsidRPr="00427688">
        <w:rPr>
          <w:rFonts w:cs="Arial"/>
          <w:noProof w:val="0"/>
          <w:sz w:val="22"/>
          <w:szCs w:val="22"/>
        </w:rPr>
        <w:t>R</w:t>
      </w:r>
      <w:r w:rsidR="00B349D2">
        <w:rPr>
          <w:rFonts w:cs="Arial"/>
          <w:noProof w:val="0"/>
          <w:sz w:val="22"/>
          <w:szCs w:val="22"/>
        </w:rPr>
        <w:t>3</w:t>
      </w:r>
      <w:r w:rsidR="00427688" w:rsidRPr="00427688">
        <w:rPr>
          <w:rFonts w:cs="Arial"/>
          <w:noProof w:val="0"/>
          <w:sz w:val="22"/>
          <w:szCs w:val="22"/>
        </w:rPr>
        <w:t>-22</w:t>
      </w:r>
      <w:r w:rsidR="00094C06">
        <w:rPr>
          <w:rFonts w:cs="Arial"/>
          <w:noProof w:val="0"/>
          <w:sz w:val="22"/>
          <w:szCs w:val="22"/>
        </w:rPr>
        <w:t>2042</w:t>
      </w:r>
      <w:r w:rsidR="00C37340" w:rsidRPr="008979C2" w:rsidDel="008979C2">
        <w:rPr>
          <w:rFonts w:cs="Arial"/>
          <w:noProof w:val="0"/>
          <w:sz w:val="22"/>
          <w:szCs w:val="22"/>
        </w:rPr>
        <w:t xml:space="preserve"> </w:t>
      </w:r>
    </w:p>
    <w:p w14:paraId="2526D515" w14:textId="563B9847" w:rsidR="009E32AC" w:rsidRDefault="00064743">
      <w:pPr>
        <w:pStyle w:val="Header"/>
        <w:rPr>
          <w:sz w:val="22"/>
          <w:szCs w:val="22"/>
        </w:rPr>
      </w:pPr>
      <w:r>
        <w:rPr>
          <w:sz w:val="22"/>
          <w:szCs w:val="22"/>
        </w:rPr>
        <w:t>21</w:t>
      </w:r>
      <w:r w:rsidRPr="00064743">
        <w:rPr>
          <w:sz w:val="22"/>
          <w:szCs w:val="22"/>
          <w:vertAlign w:val="superscript"/>
        </w:rPr>
        <w:t>st</w:t>
      </w:r>
      <w:r>
        <w:rPr>
          <w:sz w:val="22"/>
          <w:szCs w:val="22"/>
        </w:rPr>
        <w:t xml:space="preserve"> February – 3</w:t>
      </w:r>
      <w:r w:rsidRPr="00064743">
        <w:rPr>
          <w:sz w:val="22"/>
          <w:szCs w:val="22"/>
          <w:vertAlign w:val="superscript"/>
        </w:rPr>
        <w:t>rd</w:t>
      </w:r>
      <w:r>
        <w:rPr>
          <w:sz w:val="22"/>
          <w:szCs w:val="22"/>
        </w:rPr>
        <w:t xml:space="preserve"> March 2</w:t>
      </w:r>
      <w:r w:rsidR="001938D8">
        <w:rPr>
          <w:sz w:val="22"/>
          <w:szCs w:val="22"/>
        </w:rPr>
        <w:t>022</w:t>
      </w:r>
    </w:p>
    <w:p w14:paraId="5DC94438" w14:textId="77777777" w:rsidR="009E32AC" w:rsidRDefault="009E32AC">
      <w:pPr>
        <w:rPr>
          <w:rFonts w:ascii="Arial" w:hAnsi="Arial" w:cs="Arial"/>
        </w:rPr>
      </w:pPr>
    </w:p>
    <w:p w14:paraId="0D4AFE06" w14:textId="7A0E205B" w:rsidR="009E32AC" w:rsidRDefault="001938D8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64743" w:rsidRPr="00064743">
        <w:rPr>
          <w:rFonts w:ascii="Arial" w:hAnsi="Arial" w:cs="Arial"/>
          <w:b/>
          <w:color w:val="C00000"/>
          <w:sz w:val="22"/>
          <w:szCs w:val="22"/>
        </w:rPr>
        <w:t xml:space="preserve">[DRAFT] </w:t>
      </w:r>
      <w:r w:rsidR="00064743" w:rsidRPr="00064743">
        <w:rPr>
          <w:rFonts w:ascii="Arial" w:hAnsi="Arial" w:cs="Arial"/>
          <w:bCs/>
          <w:sz w:val="22"/>
          <w:szCs w:val="22"/>
        </w:rPr>
        <w:t xml:space="preserve">Reply </w:t>
      </w:r>
      <w:r w:rsidRPr="00064743">
        <w:rPr>
          <w:rFonts w:ascii="Arial" w:hAnsi="Arial" w:cs="Arial"/>
          <w:bCs/>
          <w:sz w:val="22"/>
          <w:szCs w:val="22"/>
        </w:rPr>
        <w:t>LS</w:t>
      </w:r>
      <w:r>
        <w:rPr>
          <w:rFonts w:ascii="Arial" w:hAnsi="Arial" w:cs="Arial"/>
          <w:bCs/>
          <w:sz w:val="22"/>
          <w:szCs w:val="22"/>
        </w:rPr>
        <w:t xml:space="preserve"> on RAN3 impacts for non-SDT handling</w:t>
      </w:r>
    </w:p>
    <w:p w14:paraId="4EDCA510" w14:textId="776532D3" w:rsidR="00064743" w:rsidRDefault="0006474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 w:rsidRPr="00064743">
        <w:rPr>
          <w:rFonts w:ascii="Arial" w:hAnsi="Arial" w:cs="Arial"/>
          <w:bCs/>
          <w:sz w:val="22"/>
          <w:szCs w:val="22"/>
        </w:rPr>
        <w:t>LS</w:t>
      </w:r>
      <w:r>
        <w:rPr>
          <w:rFonts w:ascii="Arial" w:hAnsi="Arial" w:cs="Arial"/>
          <w:bCs/>
          <w:sz w:val="22"/>
          <w:szCs w:val="22"/>
        </w:rPr>
        <w:t xml:space="preserve"> on RAN3 impacts for non-SDT handling (R3-22</w:t>
      </w:r>
      <w:r w:rsidR="00B349D2">
        <w:rPr>
          <w:rFonts w:ascii="Arial" w:hAnsi="Arial" w:cs="Arial"/>
          <w:bCs/>
          <w:sz w:val="22"/>
          <w:szCs w:val="22"/>
        </w:rPr>
        <w:t>1667</w:t>
      </w:r>
      <w:r>
        <w:rPr>
          <w:rFonts w:ascii="Arial" w:hAnsi="Arial" w:cs="Arial"/>
          <w:bCs/>
          <w:sz w:val="22"/>
          <w:szCs w:val="22"/>
        </w:rPr>
        <w:t>/R2-2201977)</w:t>
      </w:r>
    </w:p>
    <w:p w14:paraId="10FFF251" w14:textId="77777777" w:rsidR="009E32AC" w:rsidRDefault="001938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Rel-17</w:t>
      </w:r>
    </w:p>
    <w:bookmarkEnd w:id="3"/>
    <w:bookmarkEnd w:id="4"/>
    <w:bookmarkEnd w:id="5"/>
    <w:p w14:paraId="45FFC180" w14:textId="77777777" w:rsidR="009E32AC" w:rsidRDefault="001938D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NR_SmallData_INACTIVE-Core</w:t>
      </w:r>
    </w:p>
    <w:p w14:paraId="7FAF2E8D" w14:textId="77777777" w:rsidR="009E32AC" w:rsidRDefault="009E32A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99DC5E" w14:textId="552CE266" w:rsidR="009E32AC" w:rsidRPr="00064743" w:rsidRDefault="001938D8">
      <w:pPr>
        <w:spacing w:after="60"/>
        <w:ind w:left="1985" w:hanging="1985"/>
        <w:rPr>
          <w:rFonts w:ascii="Arial" w:hAnsi="Arial" w:cs="Arial"/>
          <w:bCs/>
          <w:color w:val="C00000"/>
          <w:sz w:val="22"/>
          <w:szCs w:val="22"/>
        </w:rPr>
      </w:pPr>
      <w:r w:rsidRPr="007127CF">
        <w:rPr>
          <w:rFonts w:ascii="Arial" w:hAnsi="Arial" w:cs="Arial"/>
          <w:b/>
          <w:sz w:val="22"/>
          <w:szCs w:val="22"/>
        </w:rPr>
        <w:t>Source:</w:t>
      </w:r>
      <w:r w:rsidRPr="007127CF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64743" w:rsidRPr="00064743">
        <w:rPr>
          <w:rFonts w:ascii="Arial" w:hAnsi="Arial" w:cs="Arial"/>
          <w:b/>
          <w:color w:val="C00000"/>
          <w:sz w:val="22"/>
          <w:szCs w:val="22"/>
        </w:rPr>
        <w:t xml:space="preserve">Qualcomm Incorporated [to be </w:t>
      </w:r>
      <w:r w:rsidRPr="00064743">
        <w:rPr>
          <w:rFonts w:ascii="Arial" w:hAnsi="Arial" w:cs="Arial"/>
          <w:b/>
          <w:color w:val="C00000"/>
          <w:sz w:val="22"/>
          <w:szCs w:val="22"/>
        </w:rPr>
        <w:t>RAN</w:t>
      </w:r>
      <w:bookmarkEnd w:id="6"/>
      <w:bookmarkEnd w:id="7"/>
      <w:bookmarkEnd w:id="8"/>
      <w:r w:rsidR="00064743" w:rsidRPr="00064743">
        <w:rPr>
          <w:rFonts w:ascii="Arial" w:hAnsi="Arial" w:cs="Arial"/>
          <w:b/>
          <w:color w:val="C00000"/>
          <w:sz w:val="22"/>
          <w:szCs w:val="22"/>
        </w:rPr>
        <w:t>3]</w:t>
      </w:r>
    </w:p>
    <w:p w14:paraId="6FA7F9CE" w14:textId="4DA962BB" w:rsidR="009E32AC" w:rsidRDefault="001938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>
        <w:rPr>
          <w:rFonts w:ascii="Arial" w:hAnsi="Arial" w:cs="Arial"/>
          <w:sz w:val="22"/>
          <w:szCs w:val="22"/>
        </w:rPr>
        <w:t>RAN</w:t>
      </w:r>
      <w:bookmarkEnd w:id="9"/>
      <w:bookmarkEnd w:id="10"/>
      <w:bookmarkEnd w:id="11"/>
      <w:r w:rsidR="00094C06">
        <w:rPr>
          <w:rFonts w:ascii="Arial" w:hAnsi="Arial" w:cs="Arial"/>
          <w:sz w:val="22"/>
          <w:szCs w:val="22"/>
        </w:rPr>
        <w:t>2</w:t>
      </w:r>
    </w:p>
    <w:p w14:paraId="1A275730" w14:textId="77777777" w:rsidR="009E32AC" w:rsidRDefault="001938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SA3, CT1</w:t>
      </w:r>
    </w:p>
    <w:bookmarkEnd w:id="12"/>
    <w:bookmarkEnd w:id="13"/>
    <w:p w14:paraId="72488FF2" w14:textId="77777777" w:rsidR="009E32AC" w:rsidRDefault="009E32AC">
      <w:pPr>
        <w:spacing w:after="60"/>
        <w:ind w:left="1985" w:hanging="1985"/>
        <w:rPr>
          <w:rFonts w:ascii="Arial" w:hAnsi="Arial" w:cs="Arial"/>
          <w:bCs/>
        </w:rPr>
      </w:pPr>
    </w:p>
    <w:p w14:paraId="64C72A01" w14:textId="74937158" w:rsidR="009E32AC" w:rsidRDefault="001938D8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064743">
        <w:rPr>
          <w:rFonts w:ascii="Arial" w:hAnsi="Arial" w:cs="Arial"/>
          <w:sz w:val="22"/>
          <w:szCs w:val="22"/>
          <w:lang w:val="en-US"/>
        </w:rPr>
        <w:t>Luis Lopes</w:t>
      </w:r>
    </w:p>
    <w:p w14:paraId="47A34234" w14:textId="23BA5867" w:rsidR="009E32AC" w:rsidRDefault="001938D8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Contact email: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064743" w:rsidRPr="00064743">
        <w:rPr>
          <w:rFonts w:ascii="Arial" w:hAnsi="Arial" w:cs="Arial"/>
          <w:sz w:val="22"/>
          <w:szCs w:val="22"/>
          <w:lang w:val="en-US"/>
        </w:rPr>
        <w:t>llopes@qti.qualcomm.com</w:t>
      </w:r>
    </w:p>
    <w:p w14:paraId="5D2F9690" w14:textId="561AEB1D" w:rsidR="009E32AC" w:rsidRDefault="009E32AC">
      <w:pPr>
        <w:spacing w:after="60"/>
        <w:rPr>
          <w:rFonts w:ascii="Arial" w:hAnsi="Arial" w:cs="Arial"/>
          <w:b/>
        </w:rPr>
      </w:pPr>
    </w:p>
    <w:p w14:paraId="05AFEBB5" w14:textId="77777777" w:rsidR="009E32AC" w:rsidRDefault="001938D8">
      <w:pPr>
        <w:pStyle w:val="Heading1"/>
      </w:pPr>
      <w:r>
        <w:t>1</w:t>
      </w:r>
      <w:r>
        <w:tab/>
        <w:t>Overall description</w:t>
      </w:r>
    </w:p>
    <w:p w14:paraId="2DA3C890" w14:textId="250A8D15" w:rsidR="00064743" w:rsidRDefault="0006474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RAN3 thanks RAN2 for the LS on </w:t>
      </w:r>
      <w:r>
        <w:rPr>
          <w:rFonts w:ascii="Arial" w:hAnsi="Arial" w:cs="Arial"/>
          <w:bCs/>
          <w:sz w:val="22"/>
          <w:szCs w:val="22"/>
        </w:rPr>
        <w:t>RAN3 impacts for non-SDT handling, and would like to provide the following answers:</w:t>
      </w:r>
      <w:r>
        <w:rPr>
          <w:rFonts w:ascii="Arial" w:hAnsi="Arial" w:cs="Arial"/>
        </w:rPr>
        <w:t xml:space="preserve"> </w:t>
      </w:r>
    </w:p>
    <w:p w14:paraId="47766F25" w14:textId="20D327FC" w:rsidR="009E32AC" w:rsidRPr="00797DDF" w:rsidRDefault="001938D8" w:rsidP="00064743">
      <w:pPr>
        <w:spacing w:after="120"/>
        <w:rPr>
          <w:rFonts w:ascii="Arial" w:hAnsi="Arial" w:cs="Arial"/>
          <w:i/>
          <w:iCs/>
        </w:rPr>
      </w:pPr>
      <w:r w:rsidRPr="00797DDF">
        <w:rPr>
          <w:rFonts w:ascii="Arial" w:hAnsi="Arial" w:cs="Arial"/>
          <w:b/>
          <w:bCs/>
          <w:i/>
          <w:iCs/>
        </w:rPr>
        <w:t>Q1:</w:t>
      </w:r>
      <w:r w:rsidRPr="00797DDF">
        <w:rPr>
          <w:rFonts w:ascii="Arial" w:hAnsi="Arial" w:cs="Arial"/>
          <w:i/>
          <w:iCs/>
        </w:rPr>
        <w:t xml:space="preserve"> Which node (old anchor gNB or serving gNB) will process the second RRCResumeRequest message with I-RNTI associated to the old anchor gNB and will perform ResumeMAC-I verification and key derivation?</w:t>
      </w:r>
    </w:p>
    <w:p w14:paraId="5FB1C1B7" w14:textId="018D9F48" w:rsidR="00064743" w:rsidRDefault="00064743" w:rsidP="00064743">
      <w:pPr>
        <w:spacing w:after="120"/>
        <w:rPr>
          <w:rFonts w:ascii="Arial" w:hAnsi="Arial" w:cs="Arial"/>
        </w:rPr>
      </w:pPr>
      <w:r w:rsidRPr="00064743">
        <w:rPr>
          <w:rFonts w:ascii="Arial" w:hAnsi="Arial" w:cs="Arial"/>
          <w:b/>
          <w:bCs/>
        </w:rPr>
        <w:t>RAN3’s answer</w:t>
      </w:r>
      <w:r>
        <w:rPr>
          <w:rFonts w:ascii="Arial" w:hAnsi="Arial" w:cs="Arial"/>
        </w:rPr>
        <w:t xml:space="preserve">: </w:t>
      </w:r>
      <w:r w:rsidR="00797DDF">
        <w:rPr>
          <w:rFonts w:ascii="Arial" w:hAnsi="Arial" w:cs="Arial"/>
        </w:rPr>
        <w:t>RAN3</w:t>
      </w:r>
      <w:r w:rsidR="00797DDF" w:rsidRPr="00797DDF">
        <w:rPr>
          <w:rFonts w:ascii="Arial" w:hAnsi="Arial" w:cs="Arial"/>
        </w:rPr>
        <w:t xml:space="preserve"> </w:t>
      </w:r>
      <w:r w:rsidR="008D5BB2">
        <w:rPr>
          <w:rFonts w:ascii="Arial" w:hAnsi="Arial" w:cs="Arial"/>
        </w:rPr>
        <w:t>thinks that</w:t>
      </w:r>
      <w:r w:rsidR="00797DDF" w:rsidRPr="00797DDF">
        <w:rPr>
          <w:rFonts w:ascii="Arial" w:hAnsi="Arial" w:cs="Arial"/>
        </w:rPr>
        <w:t xml:space="preserve"> the anchor gNB (that issued the I-RNTI) </w:t>
      </w:r>
      <w:r w:rsidR="008D5BB2">
        <w:rPr>
          <w:rFonts w:ascii="Arial" w:hAnsi="Arial" w:cs="Arial"/>
        </w:rPr>
        <w:t>will</w:t>
      </w:r>
      <w:r w:rsidR="00797DDF" w:rsidRPr="00797DDF">
        <w:rPr>
          <w:rFonts w:ascii="Arial" w:hAnsi="Arial" w:cs="Arial"/>
        </w:rPr>
        <w:t xml:space="preserve"> perform the verification and key derivation.</w:t>
      </w:r>
      <w:r w:rsidR="008D5BB2">
        <w:rPr>
          <w:rFonts w:ascii="Arial" w:hAnsi="Arial" w:cs="Arial"/>
        </w:rPr>
        <w:t xml:space="preserve"> This covers the two possible cases (context relocation and non-relocation in the SDT session). RAN3 also assumes that the serving gNB would treat this as a new independent request from any ongoing SDT session and behave as per existing flows, initiating the Retrieve UE Context procedure in Xn towards a neighbour gNB. </w:t>
      </w:r>
    </w:p>
    <w:p w14:paraId="28812E6E" w14:textId="77777777" w:rsidR="008D5BB2" w:rsidRDefault="008D5BB2" w:rsidP="008D5BB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addition:</w:t>
      </w:r>
    </w:p>
    <w:p w14:paraId="3F233AD4" w14:textId="6B599A5E" w:rsidR="008D5BB2" w:rsidRPr="008D5BB2" w:rsidRDefault="008D5BB2" w:rsidP="008D5BB2">
      <w:pPr>
        <w:pStyle w:val="ListParagraph"/>
        <w:numPr>
          <w:ilvl w:val="0"/>
          <w:numId w:val="7"/>
        </w:numPr>
        <w:spacing w:after="120"/>
        <w:rPr>
          <w:rFonts w:ascii="Arial" w:hAnsi="Arial" w:cs="Arial"/>
        </w:rPr>
      </w:pPr>
      <w:r w:rsidRPr="008D5BB2">
        <w:rPr>
          <w:rFonts w:ascii="Arial" w:hAnsi="Arial" w:cs="Arial"/>
        </w:rPr>
        <w:t xml:space="preserve">If context relocation </w:t>
      </w:r>
      <w:r>
        <w:rPr>
          <w:rFonts w:ascii="Arial" w:hAnsi="Arial" w:cs="Arial"/>
        </w:rPr>
        <w:t>was</w:t>
      </w:r>
      <w:r w:rsidRPr="008D5BB2">
        <w:rPr>
          <w:rFonts w:ascii="Arial" w:hAnsi="Arial" w:cs="Arial"/>
        </w:rPr>
        <w:t xml:space="preserve"> not performed, RAN3 assumes that</w:t>
      </w:r>
      <w:r>
        <w:rPr>
          <w:rFonts w:ascii="Arial" w:hAnsi="Arial" w:cs="Arial"/>
        </w:rPr>
        <w:t xml:space="preserve"> </w:t>
      </w:r>
      <w:r w:rsidRPr="008D5BB2">
        <w:rPr>
          <w:rFonts w:ascii="Arial" w:hAnsi="Arial" w:cs="Arial"/>
        </w:rPr>
        <w:t>the anchor</w:t>
      </w:r>
      <w:r>
        <w:rPr>
          <w:rFonts w:ascii="Arial" w:hAnsi="Arial" w:cs="Arial"/>
        </w:rPr>
        <w:t xml:space="preserve"> would</w:t>
      </w:r>
      <w:r w:rsidRPr="008D5BB2">
        <w:rPr>
          <w:rFonts w:ascii="Arial" w:hAnsi="Arial" w:cs="Arial"/>
        </w:rPr>
        <w:t xml:space="preserve"> correlate the request with the current SDT session</w:t>
      </w:r>
      <w:r>
        <w:rPr>
          <w:rFonts w:ascii="Arial" w:hAnsi="Arial" w:cs="Arial"/>
        </w:rPr>
        <w:t xml:space="preserve">, </w:t>
      </w:r>
      <w:r w:rsidRPr="008D5BB2">
        <w:rPr>
          <w:rFonts w:ascii="Arial" w:hAnsi="Arial" w:cs="Arial"/>
        </w:rPr>
        <w:t>perform verification and key derivation</w:t>
      </w:r>
      <w:r>
        <w:rPr>
          <w:rFonts w:ascii="Arial" w:hAnsi="Arial" w:cs="Arial"/>
        </w:rPr>
        <w:t>, and inform the serving gNB in the response message. Handling of the existing UE-associated Xn connection</w:t>
      </w:r>
      <w:r w:rsidR="0060787A">
        <w:rPr>
          <w:rFonts w:ascii="Arial" w:hAnsi="Arial" w:cs="Arial"/>
        </w:rPr>
        <w:t xml:space="preserve">, ongoing Xn Retrieve UE Context procedure and </w:t>
      </w:r>
      <w:r>
        <w:rPr>
          <w:rFonts w:ascii="Arial" w:hAnsi="Arial" w:cs="Arial"/>
        </w:rPr>
        <w:t>associated Xn-u tunnels is FFS.</w:t>
      </w:r>
    </w:p>
    <w:p w14:paraId="2F88D18D" w14:textId="77777777" w:rsidR="008D5BB2" w:rsidRDefault="008D5BB2" w:rsidP="008D5BB2">
      <w:pPr>
        <w:pStyle w:val="ListParagraph"/>
        <w:spacing w:after="120"/>
        <w:rPr>
          <w:rFonts w:ascii="Arial" w:hAnsi="Arial" w:cs="Arial"/>
        </w:rPr>
      </w:pPr>
    </w:p>
    <w:p w14:paraId="1CFBA821" w14:textId="15D0ACFD" w:rsidR="004138D3" w:rsidRPr="008D5BB2" w:rsidRDefault="008D5BB2" w:rsidP="008D5BB2">
      <w:pPr>
        <w:pStyle w:val="ListParagraph"/>
        <w:numPr>
          <w:ilvl w:val="0"/>
          <w:numId w:val="7"/>
        </w:numPr>
        <w:spacing w:after="120"/>
        <w:rPr>
          <w:rFonts w:ascii="Arial" w:hAnsi="Arial" w:cs="Arial"/>
        </w:rPr>
      </w:pPr>
      <w:r w:rsidRPr="008D5BB2">
        <w:rPr>
          <w:rFonts w:ascii="Arial" w:hAnsi="Arial" w:cs="Arial"/>
        </w:rPr>
        <w:t>I</w:t>
      </w:r>
      <w:r w:rsidR="00D819D6">
        <w:rPr>
          <w:rFonts w:ascii="Arial" w:hAnsi="Arial" w:cs="Arial"/>
        </w:rPr>
        <w:t xml:space="preserve">f relocation was performed, RAN3 thinks that </w:t>
      </w:r>
      <w:r w:rsidR="004138D3" w:rsidRPr="008D5BB2">
        <w:rPr>
          <w:rFonts w:ascii="Arial" w:hAnsi="Arial" w:cs="Arial"/>
        </w:rPr>
        <w:t>the context</w:t>
      </w:r>
      <w:r w:rsidR="00D819D6">
        <w:rPr>
          <w:rFonts w:ascii="Arial" w:hAnsi="Arial" w:cs="Arial"/>
        </w:rPr>
        <w:t xml:space="preserve"> would have to be kept i</w:t>
      </w:r>
      <w:r w:rsidR="004138D3" w:rsidRPr="008D5BB2">
        <w:rPr>
          <w:rFonts w:ascii="Arial" w:hAnsi="Arial" w:cs="Arial"/>
        </w:rPr>
        <w:t>n the old anchor even after path switch, to allow for the possibility of non-SDT data arrival</w:t>
      </w:r>
      <w:r w:rsidR="00D819D6">
        <w:rPr>
          <w:rFonts w:ascii="Arial" w:hAnsi="Arial" w:cs="Arial"/>
        </w:rPr>
        <w:t xml:space="preserve">. </w:t>
      </w:r>
      <w:r w:rsidR="00797DDF" w:rsidRPr="008D5BB2">
        <w:rPr>
          <w:rFonts w:ascii="Arial" w:hAnsi="Arial" w:cs="Arial"/>
        </w:rPr>
        <w:t>This is possible but has some implications for Xn procedures and detailed signalling</w:t>
      </w:r>
      <w:r w:rsidR="004138D3" w:rsidRPr="008D5BB2">
        <w:rPr>
          <w:rFonts w:ascii="Arial" w:hAnsi="Arial" w:cs="Arial"/>
        </w:rPr>
        <w:t>.</w:t>
      </w:r>
    </w:p>
    <w:p w14:paraId="34200D82" w14:textId="416E4630" w:rsidR="00CE5360" w:rsidRPr="00797DDF" w:rsidRDefault="008D74F8" w:rsidP="00FF3B74">
      <w:pPr>
        <w:spacing w:after="120"/>
        <w:rPr>
          <w:rFonts w:ascii="Arial" w:eastAsia="Arial" w:hAnsi="Arial" w:cs="Arial"/>
          <w:i/>
          <w:iCs/>
        </w:rPr>
      </w:pPr>
      <w:r w:rsidRPr="00797DDF">
        <w:rPr>
          <w:rFonts w:ascii="Arial" w:hAnsi="Arial" w:cs="Arial"/>
          <w:b/>
          <w:bCs/>
          <w:i/>
          <w:iCs/>
        </w:rPr>
        <w:t>Q</w:t>
      </w:r>
      <w:r w:rsidR="0096011D" w:rsidRPr="00797DDF">
        <w:rPr>
          <w:rFonts w:ascii="Arial" w:hAnsi="Arial" w:cs="Arial"/>
          <w:b/>
          <w:bCs/>
          <w:i/>
          <w:iCs/>
        </w:rPr>
        <w:t>2</w:t>
      </w:r>
      <w:r w:rsidRPr="00797DDF">
        <w:rPr>
          <w:rFonts w:ascii="Arial" w:hAnsi="Arial" w:cs="Arial"/>
          <w:b/>
          <w:bCs/>
          <w:i/>
          <w:iCs/>
        </w:rPr>
        <w:t>:</w:t>
      </w:r>
      <w:r w:rsidR="008B5D54" w:rsidRPr="00797DDF">
        <w:rPr>
          <w:i/>
          <w:iCs/>
        </w:rPr>
        <w:t xml:space="preserve"> </w:t>
      </w:r>
      <w:r w:rsidR="008B5D54" w:rsidRPr="00797DDF">
        <w:rPr>
          <w:rFonts w:ascii="Arial" w:hAnsi="Arial" w:cs="Arial"/>
          <w:i/>
          <w:iCs/>
        </w:rPr>
        <w:t>From RAN3 point of view, does the old anchor gNB and/or the serving gNB need to distinguish the second RRCResumeRequest message via any explicit indication sent from UE?</w:t>
      </w:r>
      <w:r w:rsidRPr="00797DDF">
        <w:rPr>
          <w:rFonts w:ascii="Arial" w:eastAsia="Arial" w:hAnsi="Arial" w:cs="Arial"/>
          <w:i/>
          <w:iCs/>
        </w:rPr>
        <w:t xml:space="preserve"> </w:t>
      </w:r>
    </w:p>
    <w:p w14:paraId="5277BF02" w14:textId="1B07E598" w:rsidR="001A6B89" w:rsidRDefault="00FF3B74" w:rsidP="001A6B89">
      <w:pPr>
        <w:spacing w:after="120"/>
        <w:rPr>
          <w:rFonts w:ascii="Arial" w:eastAsia="Arial" w:hAnsi="Arial" w:cs="Arial"/>
        </w:rPr>
      </w:pPr>
      <w:r w:rsidRPr="00FF3B74">
        <w:rPr>
          <w:rFonts w:ascii="Arial" w:eastAsia="Arial" w:hAnsi="Arial" w:cs="Arial"/>
          <w:b/>
          <w:bCs/>
        </w:rPr>
        <w:t>RAN3’s answer</w:t>
      </w:r>
      <w:r>
        <w:rPr>
          <w:rFonts w:ascii="Arial" w:eastAsia="Arial" w:hAnsi="Arial" w:cs="Arial"/>
        </w:rPr>
        <w:t xml:space="preserve">: </w:t>
      </w:r>
      <w:r w:rsidR="00872939">
        <w:rPr>
          <w:rFonts w:ascii="Arial" w:eastAsia="Arial" w:hAnsi="Arial" w:cs="Arial"/>
        </w:rPr>
        <w:t>Based on the considerations above,</w:t>
      </w:r>
      <w:r w:rsidR="001A6B89" w:rsidRPr="001A6B89">
        <w:rPr>
          <w:rFonts w:ascii="Arial" w:eastAsia="Arial" w:hAnsi="Arial" w:cs="Arial"/>
        </w:rPr>
        <w:t xml:space="preserve"> </w:t>
      </w:r>
      <w:r w:rsidR="001A6B89">
        <w:rPr>
          <w:rFonts w:ascii="Arial" w:eastAsia="Arial" w:hAnsi="Arial" w:cs="Arial"/>
        </w:rPr>
        <w:t>RAN3 assumes that</w:t>
      </w:r>
      <w:r w:rsidR="001A6B89" w:rsidRPr="001A6B89">
        <w:rPr>
          <w:rFonts w:ascii="Arial" w:eastAsia="Arial" w:hAnsi="Arial" w:cs="Arial"/>
        </w:rPr>
        <w:t xml:space="preserve"> the serving gNB would treat th</w:t>
      </w:r>
      <w:r w:rsidR="00872939">
        <w:rPr>
          <w:rFonts w:ascii="Arial" w:eastAsia="Arial" w:hAnsi="Arial" w:cs="Arial"/>
        </w:rPr>
        <w:t xml:space="preserve">e request as normal i.e., identify </w:t>
      </w:r>
      <w:r w:rsidR="001A6B89" w:rsidRPr="001A6B89">
        <w:rPr>
          <w:rFonts w:ascii="Arial" w:eastAsia="Arial" w:hAnsi="Arial" w:cs="Arial"/>
        </w:rPr>
        <w:t xml:space="preserve">the I-RNTI as belonging to a neighbour, </w:t>
      </w:r>
      <w:r w:rsidR="00872939">
        <w:rPr>
          <w:rFonts w:ascii="Arial" w:eastAsia="Arial" w:hAnsi="Arial" w:cs="Arial"/>
        </w:rPr>
        <w:t xml:space="preserve">and </w:t>
      </w:r>
      <w:r w:rsidR="001A6B89" w:rsidRPr="001A6B89">
        <w:rPr>
          <w:rFonts w:ascii="Arial" w:eastAsia="Arial" w:hAnsi="Arial" w:cs="Arial"/>
        </w:rPr>
        <w:t xml:space="preserve">initiate a </w:t>
      </w:r>
      <w:r w:rsidR="00872939">
        <w:rPr>
          <w:rFonts w:ascii="Arial" w:eastAsia="Arial" w:hAnsi="Arial" w:cs="Arial"/>
        </w:rPr>
        <w:t>Retrieve UE C</w:t>
      </w:r>
      <w:r w:rsidR="001A6B89" w:rsidRPr="001A6B89">
        <w:rPr>
          <w:rFonts w:ascii="Arial" w:eastAsia="Arial" w:hAnsi="Arial" w:cs="Arial"/>
        </w:rPr>
        <w:t>ontext procedure.</w:t>
      </w:r>
      <w:r w:rsidR="001A6B89">
        <w:rPr>
          <w:rFonts w:ascii="Arial" w:eastAsia="Arial" w:hAnsi="Arial" w:cs="Arial"/>
        </w:rPr>
        <w:t xml:space="preserve"> </w:t>
      </w:r>
      <w:r w:rsidR="001A6B89" w:rsidRPr="001A6B89">
        <w:rPr>
          <w:rFonts w:ascii="Arial" w:eastAsia="Arial" w:hAnsi="Arial" w:cs="Arial"/>
        </w:rPr>
        <w:t xml:space="preserve">The anchor would correlate with the existing context and identify this as a “second request” and initiate the required procedures. </w:t>
      </w:r>
    </w:p>
    <w:p w14:paraId="2D96F619" w14:textId="1E914797" w:rsidR="001A6B89" w:rsidRDefault="001A6B89" w:rsidP="001A6B89">
      <w:pPr>
        <w:spacing w:after="1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RAN3 thinks there is a possibility </w:t>
      </w:r>
      <w:r w:rsidRPr="001A6B89">
        <w:rPr>
          <w:rFonts w:ascii="Arial" w:eastAsia="Arial" w:hAnsi="Arial" w:cs="Arial"/>
        </w:rPr>
        <w:t xml:space="preserve">of </w:t>
      </w:r>
      <w:r w:rsidR="009559C8">
        <w:rPr>
          <w:rFonts w:ascii="Arial" w:eastAsia="Arial" w:hAnsi="Arial" w:cs="Arial"/>
        </w:rPr>
        <w:t xml:space="preserve">a </w:t>
      </w:r>
      <w:r w:rsidRPr="001A6B89">
        <w:rPr>
          <w:rFonts w:ascii="Arial" w:eastAsia="Arial" w:hAnsi="Arial" w:cs="Arial"/>
        </w:rPr>
        <w:t xml:space="preserve">race condition, </w:t>
      </w:r>
      <w:r>
        <w:rPr>
          <w:rFonts w:ascii="Arial" w:eastAsia="Arial" w:hAnsi="Arial" w:cs="Arial"/>
        </w:rPr>
        <w:t xml:space="preserve">resulting in the non-identification of the </w:t>
      </w:r>
      <w:r w:rsidRPr="001A6B89">
        <w:rPr>
          <w:rFonts w:ascii="Arial" w:eastAsia="Arial" w:hAnsi="Arial" w:cs="Arial"/>
        </w:rPr>
        <w:t>request</w:t>
      </w:r>
      <w:r w:rsidR="00B349D2">
        <w:rPr>
          <w:rFonts w:ascii="Arial" w:eastAsia="Arial" w:hAnsi="Arial" w:cs="Arial"/>
        </w:rPr>
        <w:t xml:space="preserve"> as a “second request”</w:t>
      </w:r>
      <w:r w:rsidRPr="001A6B89">
        <w:rPr>
          <w:rFonts w:ascii="Arial" w:eastAsia="Arial" w:hAnsi="Arial" w:cs="Arial"/>
        </w:rPr>
        <w:t>, which would probably result in failure and eventual release.</w:t>
      </w:r>
      <w:r>
        <w:rPr>
          <w:rFonts w:ascii="Arial" w:eastAsia="Arial" w:hAnsi="Arial" w:cs="Arial"/>
        </w:rPr>
        <w:t xml:space="preserve"> Also, since </w:t>
      </w:r>
      <w:r w:rsidRPr="001A6B89">
        <w:rPr>
          <w:rFonts w:ascii="Arial" w:eastAsia="Arial" w:hAnsi="Arial" w:cs="Arial"/>
        </w:rPr>
        <w:t>normal</w:t>
      </w:r>
      <w:r>
        <w:rPr>
          <w:rFonts w:ascii="Arial" w:eastAsia="Arial" w:hAnsi="Arial" w:cs="Arial"/>
        </w:rPr>
        <w:t xml:space="preserve">ly </w:t>
      </w:r>
      <w:r w:rsidRPr="001A6B89">
        <w:rPr>
          <w:rFonts w:ascii="Arial" w:eastAsia="Arial" w:hAnsi="Arial" w:cs="Arial"/>
        </w:rPr>
        <w:t xml:space="preserve">I-RNTI </w:t>
      </w:r>
      <w:r>
        <w:rPr>
          <w:rFonts w:ascii="Arial" w:eastAsia="Arial" w:hAnsi="Arial" w:cs="Arial"/>
        </w:rPr>
        <w:t xml:space="preserve">would </w:t>
      </w:r>
      <w:r w:rsidRPr="001A6B89">
        <w:rPr>
          <w:rFonts w:ascii="Arial" w:eastAsia="Arial" w:hAnsi="Arial" w:cs="Arial"/>
        </w:rPr>
        <w:t xml:space="preserve">be used only once, it may be helpful to identify immediately that the context is that of a UE that is in an SDT session, as an implementation could use a different search strategy. Additionally, this may also help to differentiate </w:t>
      </w:r>
      <w:r>
        <w:rPr>
          <w:rFonts w:ascii="Arial" w:eastAsia="Arial" w:hAnsi="Arial" w:cs="Arial"/>
        </w:rPr>
        <w:t>the duplicated I-RNTI use</w:t>
      </w:r>
      <w:r w:rsidRPr="001A6B89">
        <w:rPr>
          <w:rFonts w:ascii="Arial" w:eastAsia="Arial" w:hAnsi="Arial" w:cs="Arial"/>
        </w:rPr>
        <w:t xml:space="preserve"> from a</w:t>
      </w:r>
      <w:r>
        <w:rPr>
          <w:rFonts w:ascii="Arial" w:eastAsia="Arial" w:hAnsi="Arial" w:cs="Arial"/>
        </w:rPr>
        <w:t xml:space="preserve"> general</w:t>
      </w:r>
      <w:r w:rsidRPr="001A6B89">
        <w:rPr>
          <w:rFonts w:ascii="Arial" w:eastAsia="Arial" w:hAnsi="Arial" w:cs="Arial"/>
        </w:rPr>
        <w:t xml:space="preserve"> error condition.</w:t>
      </w:r>
    </w:p>
    <w:p w14:paraId="3A041902" w14:textId="75557E1F" w:rsidR="009559C8" w:rsidRPr="001A6B89" w:rsidRDefault="009559C8" w:rsidP="001A6B89">
      <w:pPr>
        <w:spacing w:after="1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Overall RAN3 thinks it is safer to add an explicit indication.</w:t>
      </w:r>
    </w:p>
    <w:p w14:paraId="0762DA42" w14:textId="03DC342D" w:rsidR="001A6B89" w:rsidRDefault="001A6B89">
      <w:pPr>
        <w:spacing w:after="120"/>
        <w:rPr>
          <w:rFonts w:ascii="Arial" w:hAnsi="Arial" w:cs="Arial"/>
        </w:rPr>
      </w:pPr>
      <w:bookmarkStart w:id="14" w:name="_Hlk93433642"/>
      <w:r w:rsidRPr="001A6B89">
        <w:rPr>
          <w:rFonts w:ascii="Arial" w:hAnsi="Arial" w:cs="Arial"/>
          <w:b/>
          <w:bCs/>
        </w:rPr>
        <w:t>Additional considerations</w:t>
      </w:r>
      <w:r>
        <w:rPr>
          <w:rFonts w:ascii="Arial" w:hAnsi="Arial" w:cs="Arial"/>
        </w:rPr>
        <w:t xml:space="preserve">: RAN3 would also </w:t>
      </w:r>
      <w:r w:rsidR="00872939">
        <w:rPr>
          <w:rFonts w:ascii="Arial" w:hAnsi="Arial" w:cs="Arial"/>
        </w:rPr>
        <w:t xml:space="preserve">request RAN2 to </w:t>
      </w:r>
      <w:r>
        <w:rPr>
          <w:rFonts w:ascii="Arial" w:hAnsi="Arial" w:cs="Arial"/>
        </w:rPr>
        <w:t>confirm the following:</w:t>
      </w:r>
    </w:p>
    <w:p w14:paraId="3B89BFF4" w14:textId="0681BC19" w:rsidR="001A6B89" w:rsidRDefault="00872939" w:rsidP="001A6B89">
      <w:pPr>
        <w:pStyle w:val="ListParagraph"/>
        <w:numPr>
          <w:ilvl w:val="0"/>
          <w:numId w:val="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RAN3 is assuming (but would like to confirm) that, for this option, the </w:t>
      </w:r>
      <w:r w:rsidR="001A6B89">
        <w:rPr>
          <w:rFonts w:ascii="Arial" w:hAnsi="Arial" w:cs="Arial"/>
        </w:rPr>
        <w:t xml:space="preserve">serving gNB </w:t>
      </w:r>
      <w:r>
        <w:rPr>
          <w:rFonts w:ascii="Arial" w:hAnsi="Arial" w:cs="Arial"/>
        </w:rPr>
        <w:t xml:space="preserve">would not </w:t>
      </w:r>
      <w:r w:rsidR="001A6B89">
        <w:rPr>
          <w:rFonts w:ascii="Arial" w:hAnsi="Arial" w:cs="Arial"/>
        </w:rPr>
        <w:t xml:space="preserve">be able to correlate the new request with </w:t>
      </w:r>
      <w:r>
        <w:rPr>
          <w:rFonts w:ascii="Arial" w:hAnsi="Arial" w:cs="Arial"/>
        </w:rPr>
        <w:t>an</w:t>
      </w:r>
      <w:r w:rsidR="001A6B89">
        <w:rPr>
          <w:rFonts w:ascii="Arial" w:hAnsi="Arial" w:cs="Arial"/>
        </w:rPr>
        <w:t xml:space="preserve"> existing SDT session</w:t>
      </w:r>
      <w:r>
        <w:rPr>
          <w:rFonts w:ascii="Arial" w:hAnsi="Arial" w:cs="Arial"/>
        </w:rPr>
        <w:t>, and therefore the serving gNB would initiate a new UE-associated Xn-c connection.</w:t>
      </w:r>
    </w:p>
    <w:p w14:paraId="092B26A9" w14:textId="5B3CFA46" w:rsidR="001A6B89" w:rsidRDefault="001A6B89" w:rsidP="001A6B89">
      <w:pPr>
        <w:pStyle w:val="ListParagraph"/>
        <w:numPr>
          <w:ilvl w:val="0"/>
          <w:numId w:val="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In the general flow for this handling, would the anchor always need to </w:t>
      </w:r>
      <w:r w:rsidRPr="001A6B89">
        <w:rPr>
          <w:rFonts w:ascii="Arial" w:hAnsi="Arial" w:cs="Arial"/>
        </w:rPr>
        <w:t>keep context and resources for the duration of all SDT sessions even in case of relocation</w:t>
      </w:r>
      <w:r>
        <w:rPr>
          <w:rFonts w:ascii="Arial" w:hAnsi="Arial" w:cs="Arial"/>
        </w:rPr>
        <w:t>?</w:t>
      </w:r>
    </w:p>
    <w:p w14:paraId="7D8F6C43" w14:textId="3D0EF503" w:rsidR="001A6B89" w:rsidRDefault="001A6B89" w:rsidP="001A6B89">
      <w:pPr>
        <w:pStyle w:val="ListParagraph"/>
        <w:numPr>
          <w:ilvl w:val="0"/>
          <w:numId w:val="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Would RAN2 confirm the need for DL data from the SDT session to be fully delivered (i.e. empty gNB-DU buffer</w:t>
      </w:r>
      <w:r w:rsidR="009559C8">
        <w:rPr>
          <w:rFonts w:ascii="Arial" w:hAnsi="Arial" w:cs="Arial"/>
        </w:rPr>
        <w:t xml:space="preserve">) before the </w:t>
      </w:r>
      <w:r w:rsidR="009559C8" w:rsidRPr="009559C8">
        <w:rPr>
          <w:rFonts w:ascii="Arial" w:hAnsi="Arial" w:cs="Arial"/>
          <w:i/>
          <w:iCs/>
        </w:rPr>
        <w:t>RRCResume</w:t>
      </w:r>
      <w:r w:rsidR="009559C8">
        <w:rPr>
          <w:rFonts w:ascii="Arial" w:hAnsi="Arial" w:cs="Arial"/>
        </w:rPr>
        <w:t xml:space="preserve"> message is delivered to the UE by the gNB-CU?</w:t>
      </w:r>
    </w:p>
    <w:p w14:paraId="0176856E" w14:textId="2F2DC03D" w:rsidR="00DA37CA" w:rsidRDefault="00DA37CA">
      <w:pPr>
        <w:spacing w:after="120"/>
        <w:rPr>
          <w:rFonts w:ascii="Arial" w:hAnsi="Arial" w:cs="Arial"/>
        </w:rPr>
      </w:pPr>
      <w:r w:rsidRPr="00B349D2">
        <w:rPr>
          <w:rFonts w:ascii="Arial" w:hAnsi="Arial" w:cs="Arial"/>
          <w:b/>
          <w:bCs/>
        </w:rPr>
        <w:t>Overall</w:t>
      </w:r>
      <w:r>
        <w:rPr>
          <w:rFonts w:ascii="Arial" w:hAnsi="Arial" w:cs="Arial"/>
        </w:rPr>
        <w:t xml:space="preserve">, RAN3 </w:t>
      </w:r>
      <w:r w:rsidR="009559C8">
        <w:rPr>
          <w:rFonts w:ascii="Arial" w:hAnsi="Arial" w:cs="Arial"/>
        </w:rPr>
        <w:t xml:space="preserve">would also like to note </w:t>
      </w:r>
      <w:r>
        <w:rPr>
          <w:rFonts w:ascii="Arial" w:hAnsi="Arial" w:cs="Arial"/>
        </w:rPr>
        <w:t xml:space="preserve">that the approach seems feasible, but there are non-negligible impacts </w:t>
      </w:r>
      <w:r w:rsidR="009559C8">
        <w:rPr>
          <w:rFonts w:ascii="Arial" w:hAnsi="Arial" w:cs="Arial"/>
        </w:rPr>
        <w:t xml:space="preserve">on </w:t>
      </w:r>
      <w:r w:rsidR="009559C8" w:rsidRPr="009559C8">
        <w:rPr>
          <w:rFonts w:ascii="Arial" w:hAnsi="Arial" w:cs="Arial"/>
        </w:rPr>
        <w:t xml:space="preserve">flows and procedural behaviour (and signalling ) </w:t>
      </w:r>
      <w:r>
        <w:rPr>
          <w:rFonts w:ascii="Arial" w:hAnsi="Arial" w:cs="Arial"/>
        </w:rPr>
        <w:t>that require further analysis</w:t>
      </w:r>
      <w:r w:rsidR="009559C8">
        <w:rPr>
          <w:rFonts w:ascii="Arial" w:hAnsi="Arial" w:cs="Arial"/>
        </w:rPr>
        <w:t xml:space="preserve"> in RAN3</w:t>
      </w:r>
      <w:r>
        <w:rPr>
          <w:rFonts w:ascii="Arial" w:hAnsi="Arial" w:cs="Arial"/>
        </w:rPr>
        <w:t>.</w:t>
      </w:r>
    </w:p>
    <w:bookmarkEnd w:id="14"/>
    <w:p w14:paraId="0BA74722" w14:textId="77777777" w:rsidR="009E32AC" w:rsidRDefault="001938D8">
      <w:pPr>
        <w:pStyle w:val="Heading1"/>
      </w:pPr>
      <w:r>
        <w:t>2</w:t>
      </w:r>
      <w:r>
        <w:tab/>
        <w:t>Actions</w:t>
      </w:r>
    </w:p>
    <w:p w14:paraId="2B608811" w14:textId="6FD8F8DA" w:rsidR="009E32AC" w:rsidRDefault="001938D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064743">
        <w:rPr>
          <w:rFonts w:ascii="Arial" w:hAnsi="Arial" w:cs="Arial"/>
          <w:b/>
        </w:rPr>
        <w:t>2</w:t>
      </w:r>
    </w:p>
    <w:p w14:paraId="3150CE2A" w14:textId="77777777" w:rsidR="009E32AC" w:rsidRDefault="001938D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</w:p>
    <w:p w14:paraId="040200DF" w14:textId="65687D88" w:rsidR="009E32AC" w:rsidRDefault="001938D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</w:t>
      </w:r>
      <w:r w:rsidR="009C4A57">
        <w:rPr>
          <w:rFonts w:ascii="Arial" w:hAnsi="Arial" w:cs="Arial"/>
        </w:rPr>
        <w:t>3 kindly asks RAN2 to take the above considerations into account</w:t>
      </w:r>
      <w:r w:rsidR="00141587">
        <w:rPr>
          <w:rFonts w:ascii="Arial" w:hAnsi="Arial" w:cs="Arial"/>
        </w:rPr>
        <w:t>, reply to the above questions</w:t>
      </w:r>
      <w:r w:rsidR="009C4A57">
        <w:rPr>
          <w:rFonts w:ascii="Arial" w:hAnsi="Arial" w:cs="Arial"/>
        </w:rPr>
        <w:t xml:space="preserve"> and inform RAN3 of any further progress.</w:t>
      </w:r>
    </w:p>
    <w:p w14:paraId="71990215" w14:textId="3D097D55" w:rsidR="009E32AC" w:rsidRDefault="001938D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 w:rsidR="009C4A57">
        <w:rPr>
          <w:szCs w:val="36"/>
        </w:rPr>
        <w:t xml:space="preserve">RAN3 </w:t>
      </w:r>
      <w:r>
        <w:rPr>
          <w:szCs w:val="36"/>
        </w:rPr>
        <w:t>meetings</w:t>
      </w:r>
    </w:p>
    <w:p w14:paraId="15F1CAB4" w14:textId="10C8D065" w:rsidR="009E32AC" w:rsidRDefault="001938D8">
      <w:pPr>
        <w:spacing w:after="120"/>
        <w:rPr>
          <w:rFonts w:ascii="Arial" w:hAnsi="Arial" w:cs="Arial"/>
        </w:rPr>
      </w:pPr>
      <w:bookmarkStart w:id="15" w:name="OLE_LINK55"/>
      <w:bookmarkStart w:id="16" w:name="OLE_LINK56"/>
      <w:bookmarkStart w:id="17" w:name="OLE_LINK53"/>
      <w:bookmarkStart w:id="18" w:name="OLE_LINK54"/>
      <w:r>
        <w:rPr>
          <w:rFonts w:ascii="Arial" w:hAnsi="Arial" w:cs="Arial"/>
        </w:rPr>
        <w:t>RAN</w:t>
      </w:r>
      <w:r w:rsidR="009C4A57">
        <w:rPr>
          <w:rFonts w:ascii="Arial" w:hAnsi="Arial" w:cs="Arial"/>
        </w:rPr>
        <w:t>3</w:t>
      </w:r>
      <w:r>
        <w:rPr>
          <w:rFonts w:ascii="Arial" w:hAnsi="Arial" w:cs="Arial"/>
        </w:rPr>
        <w:t>#11</w:t>
      </w:r>
      <w:r w:rsidR="009C4A57">
        <w:rPr>
          <w:rFonts w:ascii="Arial" w:hAnsi="Arial" w:cs="Arial"/>
        </w:rPr>
        <w:t>6</w:t>
      </w:r>
      <w:r>
        <w:rPr>
          <w:rFonts w:ascii="Arial" w:hAnsi="Arial" w:cs="Arial"/>
        </w:rPr>
        <w:t>-e</w:t>
      </w:r>
      <w:r>
        <w:rPr>
          <w:rFonts w:ascii="Arial" w:hAnsi="Arial" w:cs="Arial"/>
        </w:rPr>
        <w:tab/>
      </w:r>
      <w:r w:rsidR="009C4A57">
        <w:rPr>
          <w:rFonts w:ascii="Arial" w:hAnsi="Arial" w:cs="Arial"/>
        </w:rPr>
        <w:t>16-27 May 2022</w:t>
      </w:r>
      <w:bookmarkEnd w:id="15"/>
      <w:bookmarkEnd w:id="16"/>
      <w:r>
        <w:rPr>
          <w:rFonts w:ascii="Arial" w:hAnsi="Arial" w:cs="Arial"/>
        </w:rPr>
        <w:t>, E-meeting</w:t>
      </w:r>
    </w:p>
    <w:bookmarkEnd w:id="17"/>
    <w:bookmarkEnd w:id="18"/>
    <w:p w14:paraId="77FA2498" w14:textId="7402EF30" w:rsidR="009E32AC" w:rsidRDefault="001938D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</w:t>
      </w:r>
      <w:r w:rsidR="00DA37CA">
        <w:rPr>
          <w:rFonts w:ascii="Arial" w:hAnsi="Arial" w:cs="Arial"/>
        </w:rPr>
        <w:t>3</w:t>
      </w:r>
      <w:r>
        <w:rPr>
          <w:rFonts w:ascii="Arial" w:hAnsi="Arial" w:cs="Arial"/>
        </w:rPr>
        <w:t>#11</w:t>
      </w:r>
      <w:r w:rsidR="009C4A57">
        <w:rPr>
          <w:rFonts w:ascii="Arial" w:hAnsi="Arial" w:cs="Arial"/>
        </w:rPr>
        <w:t>7</w:t>
      </w:r>
      <w:r>
        <w:rPr>
          <w:rFonts w:ascii="Arial" w:hAnsi="Arial" w:cs="Arial"/>
        </w:rPr>
        <w:tab/>
      </w:r>
      <w:r w:rsidR="00DA37CA">
        <w:rPr>
          <w:rFonts w:ascii="Arial" w:hAnsi="Arial" w:cs="Arial"/>
        </w:rPr>
        <w:t>22-26 August</w:t>
      </w:r>
      <w:r>
        <w:rPr>
          <w:rFonts w:ascii="Arial" w:hAnsi="Arial" w:cs="Arial"/>
        </w:rPr>
        <w:t xml:space="preserve"> 2022, </w:t>
      </w:r>
      <w:r w:rsidR="00DA37CA">
        <w:rPr>
          <w:rFonts w:ascii="Arial" w:hAnsi="Arial" w:cs="Arial"/>
        </w:rPr>
        <w:t>Toulouse, France</w:t>
      </w:r>
    </w:p>
    <w:p w14:paraId="525AC6D1" w14:textId="77777777" w:rsidR="009E32AC" w:rsidRDefault="009E32AC"/>
    <w:sectPr w:rsidR="009E32A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097D9" w14:textId="77777777" w:rsidR="00A355C1" w:rsidRDefault="00A355C1">
      <w:pPr>
        <w:spacing w:after="0"/>
      </w:pPr>
      <w:r>
        <w:separator/>
      </w:r>
    </w:p>
  </w:endnote>
  <w:endnote w:type="continuationSeparator" w:id="0">
    <w:p w14:paraId="6638EDCD" w14:textId="77777777" w:rsidR="00A355C1" w:rsidRDefault="00A355C1">
      <w:pPr>
        <w:spacing w:after="0"/>
      </w:pPr>
      <w:r>
        <w:continuationSeparator/>
      </w:r>
    </w:p>
  </w:endnote>
  <w:endnote w:type="continuationNotice" w:id="1">
    <w:p w14:paraId="11492AF3" w14:textId="77777777" w:rsidR="00A355C1" w:rsidRDefault="00A355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82DBC" w14:textId="77777777" w:rsidR="00A355C1" w:rsidRDefault="00A355C1">
      <w:pPr>
        <w:spacing w:after="0"/>
      </w:pPr>
      <w:r>
        <w:separator/>
      </w:r>
    </w:p>
  </w:footnote>
  <w:footnote w:type="continuationSeparator" w:id="0">
    <w:p w14:paraId="43AC30D1" w14:textId="77777777" w:rsidR="00A355C1" w:rsidRDefault="00A355C1">
      <w:pPr>
        <w:spacing w:after="0"/>
      </w:pPr>
      <w:r>
        <w:continuationSeparator/>
      </w:r>
    </w:p>
  </w:footnote>
  <w:footnote w:type="continuationNotice" w:id="1">
    <w:p w14:paraId="1A4D9EF9" w14:textId="77777777" w:rsidR="00A355C1" w:rsidRDefault="00A355C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63112AF"/>
    <w:multiLevelType w:val="hybridMultilevel"/>
    <w:tmpl w:val="FE467668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006FA0"/>
    <w:multiLevelType w:val="hybridMultilevel"/>
    <w:tmpl w:val="6AB64CA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6552390"/>
    <w:multiLevelType w:val="hybridMultilevel"/>
    <w:tmpl w:val="58CE593A"/>
    <w:lvl w:ilvl="0" w:tplc="0D40A4C2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2AC"/>
    <w:rsid w:val="00010E8A"/>
    <w:rsid w:val="00056F00"/>
    <w:rsid w:val="00064743"/>
    <w:rsid w:val="00085ECF"/>
    <w:rsid w:val="00094C06"/>
    <w:rsid w:val="000A2390"/>
    <w:rsid w:val="000B5D64"/>
    <w:rsid w:val="00101BFF"/>
    <w:rsid w:val="00141587"/>
    <w:rsid w:val="00154A0E"/>
    <w:rsid w:val="001738D0"/>
    <w:rsid w:val="00181286"/>
    <w:rsid w:val="0018657B"/>
    <w:rsid w:val="001938D8"/>
    <w:rsid w:val="00193D2F"/>
    <w:rsid w:val="001A6B89"/>
    <w:rsid w:val="002604C0"/>
    <w:rsid w:val="002A008C"/>
    <w:rsid w:val="002E6CAD"/>
    <w:rsid w:val="002E7098"/>
    <w:rsid w:val="0035278E"/>
    <w:rsid w:val="00357D27"/>
    <w:rsid w:val="00380B30"/>
    <w:rsid w:val="003D5415"/>
    <w:rsid w:val="003E3A58"/>
    <w:rsid w:val="003F5810"/>
    <w:rsid w:val="004138D3"/>
    <w:rsid w:val="00427688"/>
    <w:rsid w:val="004536C2"/>
    <w:rsid w:val="00485993"/>
    <w:rsid w:val="004C0B64"/>
    <w:rsid w:val="005030CA"/>
    <w:rsid w:val="00556429"/>
    <w:rsid w:val="005667AF"/>
    <w:rsid w:val="00567238"/>
    <w:rsid w:val="005940E5"/>
    <w:rsid w:val="005A0203"/>
    <w:rsid w:val="005A04A3"/>
    <w:rsid w:val="005A2054"/>
    <w:rsid w:val="0060787A"/>
    <w:rsid w:val="006356D1"/>
    <w:rsid w:val="00653C8E"/>
    <w:rsid w:val="00670158"/>
    <w:rsid w:val="00706AF4"/>
    <w:rsid w:val="007127CF"/>
    <w:rsid w:val="0071770B"/>
    <w:rsid w:val="007231D4"/>
    <w:rsid w:val="007256DC"/>
    <w:rsid w:val="0073159D"/>
    <w:rsid w:val="00744E45"/>
    <w:rsid w:val="00765CBB"/>
    <w:rsid w:val="00773F46"/>
    <w:rsid w:val="00797267"/>
    <w:rsid w:val="00797DDF"/>
    <w:rsid w:val="007C14E7"/>
    <w:rsid w:val="007D5B3B"/>
    <w:rsid w:val="007F5443"/>
    <w:rsid w:val="00872939"/>
    <w:rsid w:val="00886810"/>
    <w:rsid w:val="008979C2"/>
    <w:rsid w:val="008B5D54"/>
    <w:rsid w:val="008D5BB2"/>
    <w:rsid w:val="008D74F8"/>
    <w:rsid w:val="00923CCA"/>
    <w:rsid w:val="009559C8"/>
    <w:rsid w:val="0096011D"/>
    <w:rsid w:val="009C4A57"/>
    <w:rsid w:val="009E32AC"/>
    <w:rsid w:val="00A041BE"/>
    <w:rsid w:val="00A136D6"/>
    <w:rsid w:val="00A355C1"/>
    <w:rsid w:val="00A66C3F"/>
    <w:rsid w:val="00A72BCB"/>
    <w:rsid w:val="00A93E0F"/>
    <w:rsid w:val="00AA2EBB"/>
    <w:rsid w:val="00AF4879"/>
    <w:rsid w:val="00B03BA2"/>
    <w:rsid w:val="00B14351"/>
    <w:rsid w:val="00B349D2"/>
    <w:rsid w:val="00B360ED"/>
    <w:rsid w:val="00B64EA0"/>
    <w:rsid w:val="00B73353"/>
    <w:rsid w:val="00BA4FAE"/>
    <w:rsid w:val="00BC1DAA"/>
    <w:rsid w:val="00BD707D"/>
    <w:rsid w:val="00C17DE6"/>
    <w:rsid w:val="00C37340"/>
    <w:rsid w:val="00C375E7"/>
    <w:rsid w:val="00C557A8"/>
    <w:rsid w:val="00C65EB0"/>
    <w:rsid w:val="00C75300"/>
    <w:rsid w:val="00CD7555"/>
    <w:rsid w:val="00CE2E50"/>
    <w:rsid w:val="00CE5360"/>
    <w:rsid w:val="00D34D7D"/>
    <w:rsid w:val="00D407D1"/>
    <w:rsid w:val="00D819D6"/>
    <w:rsid w:val="00DA37CA"/>
    <w:rsid w:val="00DC2B38"/>
    <w:rsid w:val="00DF0365"/>
    <w:rsid w:val="00E125EF"/>
    <w:rsid w:val="00E12724"/>
    <w:rsid w:val="00ED2805"/>
    <w:rsid w:val="00F00DDD"/>
    <w:rsid w:val="00F07FCB"/>
    <w:rsid w:val="00F272FA"/>
    <w:rsid w:val="00F64DDC"/>
    <w:rsid w:val="00F97590"/>
    <w:rsid w:val="00FF3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480651"/>
  <w15:docId w15:val="{B71D2019-97F7-43E2-B211-9DB1622CB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1A6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0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DE1735E5-0262-43BB-B86D-7D009AD79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031116-AD4F-4D68-BD37-4A6AE0A253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6DFD45-B814-4E51-A966-EC8580DFFD11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Author</cp:lastModifiedBy>
  <cp:revision>3</cp:revision>
  <cp:lastPrinted>2002-04-23T07:10:00Z</cp:lastPrinted>
  <dcterms:created xsi:type="dcterms:W3CDTF">2022-02-10T16:23:00Z</dcterms:created>
  <dcterms:modified xsi:type="dcterms:W3CDTF">2022-02-10T18:51:00Z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CWM667d173f518b4b558609af50d210925d">
    <vt:lpwstr>CWMYtg9ddz3VUN5/lLdm1TZp4q253Vs6YSGIx4m0c2WYok2RrXOaqLcAwZ915Zv01YZD+Jy3aDVn2h3gTqKuprbSQ==</vt:lpwstr>
  </property>
  <property fmtid="{D5CDD505-2E9C-101B-9397-08002B2CF9AE}" pid="4" name="MSIP_Label_a7295cc1-d279-42ac-ab4d-3b0f4fece050_Enabled">
    <vt:lpwstr>true</vt:lpwstr>
  </property>
  <property fmtid="{D5CDD505-2E9C-101B-9397-08002B2CF9AE}" pid="5" name="MSIP_Label_a7295cc1-d279-42ac-ab4d-3b0f4fece050_SetDate">
    <vt:lpwstr>2022-01-20T10:30:12Z</vt:lpwstr>
  </property>
  <property fmtid="{D5CDD505-2E9C-101B-9397-08002B2CF9AE}" pid="6" name="MSIP_Label_a7295cc1-d279-42ac-ab4d-3b0f4fece050_Method">
    <vt:lpwstr>Standard</vt:lpwstr>
  </property>
  <property fmtid="{D5CDD505-2E9C-101B-9397-08002B2CF9AE}" pid="7" name="MSIP_Label_a7295cc1-d279-42ac-ab4d-3b0f4fece050_Name">
    <vt:lpwstr>FUJITSU-RESTRICTED​</vt:lpwstr>
  </property>
  <property fmtid="{D5CDD505-2E9C-101B-9397-08002B2CF9AE}" pid="8" name="MSIP_Label_a7295cc1-d279-42ac-ab4d-3b0f4fece050_SiteId">
    <vt:lpwstr>a19f121d-81e1-4858-a9d8-736e267fd4c7</vt:lpwstr>
  </property>
  <property fmtid="{D5CDD505-2E9C-101B-9397-08002B2CF9AE}" pid="9" name="MSIP_Label_a7295cc1-d279-42ac-ab4d-3b0f4fece050_ActionId">
    <vt:lpwstr>9b32be80-8d2a-4d83-9e29-781fa0717495</vt:lpwstr>
  </property>
  <property fmtid="{D5CDD505-2E9C-101B-9397-08002B2CF9AE}" pid="10" name="MSIP_Label_a7295cc1-d279-42ac-ab4d-3b0f4fece050_ContentBits">
    <vt:lpwstr>0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1643010972</vt:lpwstr>
  </property>
</Properties>
</file>